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C6" w:rsidRPr="00683E00" w:rsidRDefault="007932D4">
      <w:pPr>
        <w:pStyle w:val="Ttulo1"/>
        <w:spacing w:before="18"/>
        <w:ind w:left="4122" w:right="4122"/>
        <w:jc w:val="center"/>
      </w:pPr>
      <w:bookmarkStart w:id="0" w:name="_GoBack"/>
      <w:bookmarkEnd w:id="0"/>
      <w:r w:rsidRPr="00683E00">
        <w:t>ANEXO N°51</w:t>
      </w:r>
    </w:p>
    <w:p w:rsidR="005860C6" w:rsidRDefault="005860C6">
      <w:pPr>
        <w:rPr>
          <w:b/>
          <w:sz w:val="26"/>
          <w:szCs w:val="26"/>
        </w:rPr>
      </w:pPr>
    </w:p>
    <w:p w:rsidR="005860C6" w:rsidRDefault="005860C6">
      <w:pPr>
        <w:spacing w:before="1"/>
        <w:rPr>
          <w:b/>
          <w:sz w:val="26"/>
          <w:szCs w:val="26"/>
        </w:rPr>
      </w:pPr>
    </w:p>
    <w:p w:rsidR="005860C6" w:rsidRDefault="007932D4">
      <w:pPr>
        <w:ind w:left="2442" w:right="2445"/>
        <w:jc w:val="center"/>
      </w:pPr>
      <w:r>
        <w:rPr>
          <w:b/>
          <w:sz w:val="26"/>
          <w:szCs w:val="26"/>
        </w:rPr>
        <w:t>CRITERIOS DE FACTIBILIDAD Y APLICABILIDAD</w:t>
      </w:r>
    </w:p>
    <w:p w:rsidR="005860C6" w:rsidRDefault="005860C6">
      <w:pPr>
        <w:pStyle w:val="Ttulo1"/>
        <w:spacing w:line="316" w:lineRule="auto"/>
        <w:ind w:left="3148"/>
      </w:pPr>
    </w:p>
    <w:p w:rsidR="005860C6" w:rsidRDefault="005860C6">
      <w:pPr>
        <w:spacing w:before="6"/>
        <w:rPr>
          <w:b/>
          <w:sz w:val="33"/>
          <w:szCs w:val="33"/>
        </w:rPr>
      </w:pPr>
    </w:p>
    <w:p w:rsidR="005860C6" w:rsidRDefault="0079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before="1"/>
        <w:ind w:hanging="359"/>
        <w:rPr>
          <w:b/>
          <w:color w:val="000000"/>
        </w:rPr>
      </w:pPr>
      <w:r>
        <w:rPr>
          <w:b/>
          <w:color w:val="000000"/>
        </w:rPr>
        <w:t>Proyectos de Iniciación de la Innovación</w:t>
      </w:r>
    </w:p>
    <w:p w:rsidR="005860C6" w:rsidRDefault="005860C6">
      <w:pPr>
        <w:spacing w:before="10"/>
        <w:rPr>
          <w:b/>
          <w:sz w:val="21"/>
          <w:szCs w:val="21"/>
        </w:rPr>
      </w:pPr>
    </w:p>
    <w:p w:rsidR="005860C6" w:rsidRDefault="007932D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4"/>
        <w:ind w:hanging="222"/>
        <w:rPr>
          <w:b/>
          <w:color w:val="000000"/>
        </w:rPr>
      </w:pPr>
      <w:r>
        <w:rPr>
          <w:b/>
          <w:color w:val="000000"/>
        </w:rPr>
        <w:t>Factibilidad y aplicabilidad</w:t>
      </w:r>
    </w:p>
    <w:tbl>
      <w:tblPr>
        <w:tblStyle w:val="a8"/>
        <w:tblW w:w="93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2348"/>
        <w:gridCol w:w="2372"/>
        <w:gridCol w:w="2349"/>
      </w:tblGrid>
      <w:tr w:rsidR="005860C6">
        <w:trPr>
          <w:trHeight w:val="1953"/>
        </w:trPr>
        <w:tc>
          <w:tcPr>
            <w:tcW w:w="232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problema no es relevante con relación a los desafíos de SST o la solución propuesta no es aplicable</w:t>
            </w:r>
          </w:p>
        </w:tc>
        <w:tc>
          <w:tcPr>
            <w:tcW w:w="2348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problema es de baja relevancia con relación a los desafíos de SST o la solución propuesta no tiene perspectivas de aplicabilidad o bien las soluciones actuales se muestran efectivas</w:t>
            </w:r>
          </w:p>
        </w:tc>
        <w:tc>
          <w:tcPr>
            <w:tcW w:w="237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problema es de mediana relevancia con relación a los desafíos actuales o bien tiene menor urgencia respecto a otras problemáticas de SST o la solución propuesta puede tener un impacto limitado de trabajadores o circunscrito a las organizaciones patrocinadoras</w:t>
            </w:r>
          </w:p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 proyecto</w:t>
            </w:r>
          </w:p>
        </w:tc>
        <w:tc>
          <w:tcPr>
            <w:tcW w:w="234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problema es de alta relevancia con relación a los desafíos de SST y la solución puede ser aplicable a una población importante de trabajadores</w:t>
            </w:r>
          </w:p>
        </w:tc>
      </w:tr>
      <w:tr w:rsidR="005860C6">
        <w:trPr>
          <w:trHeight w:val="196"/>
        </w:trPr>
        <w:tc>
          <w:tcPr>
            <w:tcW w:w="232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44" w:right="85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48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50" w:right="85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7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63" w:right="87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4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54" w:right="86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spacing w:before="9"/>
        <w:rPr>
          <w:b/>
          <w:sz w:val="21"/>
          <w:szCs w:val="21"/>
        </w:rPr>
      </w:pPr>
    </w:p>
    <w:p w:rsidR="005860C6" w:rsidRDefault="007932D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4"/>
        <w:ind w:hanging="222"/>
        <w:rPr>
          <w:b/>
          <w:color w:val="000000"/>
        </w:rPr>
      </w:pPr>
      <w:r>
        <w:rPr>
          <w:b/>
          <w:color w:val="000000"/>
        </w:rPr>
        <w:t>Responde a lineamientos estratégicos</w:t>
      </w:r>
    </w:p>
    <w:tbl>
      <w:tblPr>
        <w:tblStyle w:val="a9"/>
        <w:tblW w:w="93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57"/>
        <w:gridCol w:w="2359"/>
        <w:gridCol w:w="2324"/>
      </w:tblGrid>
      <w:tr w:rsidR="005860C6">
        <w:trPr>
          <w:trHeight w:val="1410"/>
        </w:trPr>
        <w:tc>
          <w:tcPr>
            <w:tcW w:w="2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no responde a los Lineamientos Estratégicos de investigación e innovación en prevención.</w:t>
            </w:r>
          </w:p>
        </w:tc>
        <w:tc>
          <w:tcPr>
            <w:tcW w:w="2357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corresponde a una de las 5 líneas temáticas generales de la Convocatoria, sin ajustarse a una temática declarada o a algún proyecto particular prioritario</w:t>
            </w:r>
          </w:p>
        </w:tc>
        <w:tc>
          <w:tcPr>
            <w:tcW w:w="235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corresponde a una temática de interés declarada en la Convocatoria, aunque no es  un proyecto prioritario en la actualidad</w:t>
            </w:r>
          </w:p>
        </w:tc>
        <w:tc>
          <w:tcPr>
            <w:tcW w:w="232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1252"/>
                <w:tab w:val="left" w:pos="1617"/>
              </w:tabs>
              <w:ind w:left="108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ab/>
              <w:t>proyecto</w:t>
            </w:r>
            <w:r>
              <w:rPr>
                <w:color w:val="000000"/>
                <w:sz w:val="16"/>
                <w:szCs w:val="16"/>
              </w:rPr>
              <w:tab/>
              <w:t>es</w:t>
            </w:r>
            <w:r>
              <w:rPr>
                <w:color w:val="000000"/>
                <w:sz w:val="16"/>
                <w:szCs w:val="16"/>
              </w:rPr>
              <w:tab/>
              <w:t>Proyecto Prioritario vigente</w:t>
            </w:r>
          </w:p>
        </w:tc>
      </w:tr>
      <w:tr w:rsidR="005860C6">
        <w:trPr>
          <w:trHeight w:val="194"/>
        </w:trPr>
        <w:tc>
          <w:tcPr>
            <w:tcW w:w="2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18" w:right="82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57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93" w:right="89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5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60" w:right="86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2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46" w:right="8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spacing w:before="9"/>
        <w:rPr>
          <w:b/>
          <w:sz w:val="21"/>
          <w:szCs w:val="21"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ind w:left="118"/>
        <w:rPr>
          <w:b/>
          <w:color w:val="000000"/>
        </w:rPr>
      </w:pPr>
      <w:r>
        <w:rPr>
          <w:b/>
          <w:color w:val="000000"/>
        </w:rPr>
        <w:t>Resumen Puntaje Final Proyectos de Iniciación de la Innovación</w:t>
      </w:r>
    </w:p>
    <w:p w:rsidR="005860C6" w:rsidRDefault="005860C6">
      <w:pPr>
        <w:rPr>
          <w:b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spacing w:before="1" w:after="3"/>
        <w:ind w:left="118"/>
        <w:rPr>
          <w:b/>
          <w:color w:val="000000"/>
        </w:rPr>
      </w:pPr>
      <w:r>
        <w:rPr>
          <w:b/>
          <w:color w:val="000000"/>
        </w:rPr>
        <w:t>Admisibilidad: factibilidad y aplicabilidad</w:t>
      </w:r>
    </w:p>
    <w:tbl>
      <w:tblPr>
        <w:tblStyle w:val="aa"/>
        <w:tblW w:w="65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1204"/>
      </w:tblGrid>
      <w:tr w:rsidR="005860C6">
        <w:trPr>
          <w:trHeight w:val="489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02" w:right="22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Dimensión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5"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Puntos</w:t>
            </w:r>
          </w:p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5" w:right="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Potenciales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E.1 Factibilidad y aplicabilidad de la propuesta de innovación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E.2 Responde a lineamientos estratégicos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 ADMISIBILIDAD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0-6</w:t>
            </w:r>
          </w:p>
        </w:tc>
      </w:tr>
    </w:tbl>
    <w:p w:rsidR="005860C6" w:rsidRDefault="007932D4">
      <w:pPr>
        <w:ind w:left="118"/>
        <w:rPr>
          <w:sz w:val="18"/>
          <w:szCs w:val="18"/>
        </w:rPr>
      </w:pPr>
      <w:r>
        <w:rPr>
          <w:b/>
          <w:sz w:val="18"/>
          <w:szCs w:val="18"/>
        </w:rPr>
        <w:t xml:space="preserve">Nota: </w:t>
      </w:r>
      <w:r>
        <w:rPr>
          <w:sz w:val="18"/>
          <w:szCs w:val="18"/>
        </w:rPr>
        <w:t>Puntaje promedio de admisibilidad debe ser superior a 3</w:t>
      </w:r>
    </w:p>
    <w:p w:rsidR="005860C6" w:rsidRDefault="005860C6">
      <w:pPr>
        <w:spacing w:before="8"/>
        <w:rPr>
          <w:sz w:val="21"/>
          <w:szCs w:val="21"/>
        </w:rPr>
      </w:pPr>
    </w:p>
    <w:p w:rsidR="005860C6" w:rsidRDefault="0079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35"/>
        <w:ind w:hanging="359"/>
        <w:rPr>
          <w:b/>
          <w:color w:val="000000"/>
        </w:rPr>
      </w:pPr>
      <w:r>
        <w:rPr>
          <w:b/>
          <w:color w:val="000000"/>
        </w:rPr>
        <w:t>Proyectos de Continuidad o de Implementación de la Innovación</w:t>
      </w:r>
    </w:p>
    <w:p w:rsidR="005860C6" w:rsidRDefault="005860C6">
      <w:pPr>
        <w:spacing w:before="11"/>
        <w:rPr>
          <w:b/>
          <w:sz w:val="31"/>
          <w:szCs w:val="31"/>
        </w:rPr>
      </w:pPr>
    </w:p>
    <w:p w:rsidR="005860C6" w:rsidRDefault="0079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" w:after="3"/>
        <w:ind w:hanging="222"/>
        <w:rPr>
          <w:b/>
          <w:color w:val="000000"/>
        </w:rPr>
      </w:pPr>
      <w:r>
        <w:rPr>
          <w:b/>
          <w:color w:val="000000"/>
        </w:rPr>
        <w:t>Factibilidad y aplicabilidad</w:t>
      </w:r>
    </w:p>
    <w:tbl>
      <w:tblPr>
        <w:tblStyle w:val="ab"/>
        <w:tblW w:w="939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86"/>
        <w:gridCol w:w="2312"/>
        <w:gridCol w:w="2309"/>
      </w:tblGrid>
      <w:tr w:rsidR="005860C6">
        <w:trPr>
          <w:trHeight w:val="1953"/>
        </w:trPr>
        <w:tc>
          <w:tcPr>
            <w:tcW w:w="238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no contribuye a la prevención de los accidentes del trabajo o las enfermedades profesionales, acorde a la convocatoria y a la realidad nacional, independientemente de la calidad de su aporte al conocimiento científico.</w:t>
            </w:r>
          </w:p>
        </w:tc>
        <w:tc>
          <w:tcPr>
            <w:tcW w:w="2386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1"/>
              </w:tabs>
              <w:ind w:left="10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sólo tangencialmente a la prevención de los accidentes del trabajo o las enfermedades profesionales, acorde a la convocatoria y a la realidad</w:t>
            </w:r>
            <w:r>
              <w:rPr>
                <w:color w:val="000000"/>
                <w:sz w:val="16"/>
                <w:szCs w:val="16"/>
              </w:rPr>
              <w:tab/>
              <w:t>nacional, independientemente de la calidad de su aporte al conocimiento científico.</w:t>
            </w:r>
          </w:p>
        </w:tc>
        <w:tc>
          <w:tcPr>
            <w:tcW w:w="231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en forma importante a la prevención de los accidentes del trabajo o las enfermedades profesionales, acorde a la convocatoria y a la realidad nacional, pero representa un aporte limitado al conocimiento científico.</w:t>
            </w:r>
          </w:p>
        </w:tc>
        <w:tc>
          <w:tcPr>
            <w:tcW w:w="230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en forma importante a la prevención de los accidentes del trabajo o las enfermedades profesionales, acorde a la convocatoria y a la realidad nacional, y además representa un aporte al conocimiento científico.</w:t>
            </w:r>
          </w:p>
        </w:tc>
      </w:tr>
      <w:tr w:rsidR="005860C6">
        <w:trPr>
          <w:trHeight w:val="193"/>
        </w:trPr>
        <w:tc>
          <w:tcPr>
            <w:tcW w:w="238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77" w:right="88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86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905" w:right="9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1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38" w:right="84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0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38" w:right="8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spacing w:before="9"/>
        <w:rPr>
          <w:b/>
          <w:sz w:val="21"/>
          <w:szCs w:val="21"/>
        </w:rPr>
      </w:pPr>
    </w:p>
    <w:p w:rsidR="005860C6" w:rsidRDefault="0079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4"/>
        <w:ind w:hanging="222"/>
        <w:rPr>
          <w:b/>
          <w:color w:val="000000"/>
        </w:rPr>
      </w:pPr>
      <w:r>
        <w:t xml:space="preserve">     </w:t>
      </w:r>
      <w:r>
        <w:rPr>
          <w:b/>
          <w:sz w:val="21"/>
          <w:szCs w:val="21"/>
        </w:rPr>
        <w:t xml:space="preserve">Responde a lineamientos estratégicos </w:t>
      </w:r>
      <w:r>
        <w:t xml:space="preserve">     </w:t>
      </w:r>
    </w:p>
    <w:tbl>
      <w:tblPr>
        <w:tblStyle w:val="ac"/>
        <w:tblW w:w="939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372"/>
        <w:gridCol w:w="2340"/>
        <w:gridCol w:w="2341"/>
      </w:tblGrid>
      <w:tr w:rsidR="005860C6">
        <w:trPr>
          <w:trHeight w:val="976"/>
        </w:trPr>
        <w:tc>
          <w:tcPr>
            <w:tcW w:w="2343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no responde a los Lineamientos Estratégicos de investigación e innovación en prevención.</w:t>
            </w:r>
          </w:p>
        </w:tc>
        <w:tc>
          <w:tcPr>
            <w:tcW w:w="237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  <w:tab w:val="left" w:pos="1592"/>
                <w:tab w:val="left" w:pos="1630"/>
                <w:tab w:val="left" w:pos="2062"/>
              </w:tabs>
              <w:ind w:left="105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ab/>
              <w:t>proyecto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>responde tangencialmente</w:t>
            </w:r>
            <w:r>
              <w:rPr>
                <w:color w:val="000000"/>
                <w:sz w:val="16"/>
                <w:szCs w:val="16"/>
              </w:rPr>
              <w:tab/>
              <w:t>a</w:t>
            </w:r>
            <w:r>
              <w:rPr>
                <w:color w:val="000000"/>
                <w:sz w:val="16"/>
                <w:szCs w:val="16"/>
              </w:rPr>
              <w:tab/>
              <w:t>los Lineamientos Estratégicos de investigación e innovación en</w:t>
            </w:r>
          </w:p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prevención.</w:t>
            </w:r>
          </w:p>
        </w:tc>
        <w:tc>
          <w:tcPr>
            <w:tcW w:w="2340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0"/>
                <w:tab w:val="left" w:pos="1600"/>
              </w:tabs>
              <w:ind w:left="107" w:right="1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ab/>
              <w:t>proyecto</w:t>
            </w:r>
            <w:r>
              <w:rPr>
                <w:color w:val="000000"/>
                <w:sz w:val="16"/>
                <w:szCs w:val="16"/>
              </w:rPr>
              <w:tab/>
              <w:t>responde parcialmente a los Lineamientos Estratégicos de investigación e innovación en prevención.</w:t>
            </w:r>
          </w:p>
        </w:tc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responde a los Lineamientos Estratégicos de investigación e innovación en prevención.</w:t>
            </w:r>
          </w:p>
        </w:tc>
      </w:tr>
      <w:tr w:rsidR="005860C6">
        <w:trPr>
          <w:trHeight w:val="196"/>
        </w:trPr>
        <w:tc>
          <w:tcPr>
            <w:tcW w:w="2343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850" w:right="85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7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866" w:right="86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40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852" w:right="85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852" w:right="85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spacing w:before="9"/>
        <w:rPr>
          <w:b/>
          <w:sz w:val="21"/>
          <w:szCs w:val="21"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ind w:left="118"/>
        <w:rPr>
          <w:b/>
          <w:color w:val="000000"/>
        </w:rPr>
      </w:pPr>
      <w:r>
        <w:rPr>
          <w:b/>
          <w:color w:val="000000"/>
        </w:rPr>
        <w:t>Resumen Puntaje Final Proyectos de Continuidad o de Implementación de la Innovación</w:t>
      </w:r>
    </w:p>
    <w:p w:rsidR="005860C6" w:rsidRDefault="005860C6">
      <w:pPr>
        <w:pBdr>
          <w:top w:val="nil"/>
          <w:left w:val="nil"/>
          <w:bottom w:val="nil"/>
          <w:right w:val="nil"/>
          <w:between w:val="nil"/>
        </w:pBdr>
        <w:ind w:left="118"/>
        <w:rPr>
          <w:b/>
          <w:color w:val="000000"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spacing w:before="120" w:after="4"/>
        <w:ind w:left="118"/>
        <w:rPr>
          <w:b/>
          <w:color w:val="000000"/>
        </w:rPr>
      </w:pPr>
      <w:r>
        <w:rPr>
          <w:b/>
          <w:color w:val="000000"/>
        </w:rPr>
        <w:t>Admisibilidad: factibilidad y aplicabilidad</w:t>
      </w:r>
    </w:p>
    <w:tbl>
      <w:tblPr>
        <w:tblStyle w:val="ad"/>
        <w:tblW w:w="65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1204"/>
      </w:tblGrid>
      <w:tr w:rsidR="005860C6">
        <w:trPr>
          <w:trHeight w:val="48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02" w:right="22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Dimensión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Puntos</w:t>
            </w:r>
          </w:p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95" w:right="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Potenciales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E.1 Factibilidad y aplicabilidad de la propuesta de investigación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E.2 Responde a lineamientos estratégicos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9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 ADMISIBILIDAD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0-6</w:t>
            </w:r>
          </w:p>
        </w:tc>
      </w:tr>
    </w:tbl>
    <w:p w:rsidR="005860C6" w:rsidRDefault="007932D4">
      <w:pPr>
        <w:ind w:left="118"/>
        <w:rPr>
          <w:sz w:val="18"/>
          <w:szCs w:val="18"/>
        </w:rPr>
      </w:pPr>
      <w:r>
        <w:rPr>
          <w:b/>
          <w:sz w:val="18"/>
          <w:szCs w:val="18"/>
        </w:rPr>
        <w:t xml:space="preserve">Nota: </w:t>
      </w:r>
      <w:r>
        <w:rPr>
          <w:sz w:val="18"/>
          <w:szCs w:val="18"/>
        </w:rPr>
        <w:t>Puntaje promedio de admisibilidad debe ser superior a 3</w:t>
      </w:r>
    </w:p>
    <w:p w:rsidR="005860C6" w:rsidRDefault="005860C6">
      <w:pPr>
        <w:spacing w:before="44" w:after="4"/>
        <w:ind w:left="118"/>
        <w:rPr>
          <w:sz w:val="18"/>
          <w:szCs w:val="18"/>
        </w:rPr>
      </w:pPr>
    </w:p>
    <w:p w:rsidR="005860C6" w:rsidRDefault="005860C6">
      <w:pPr>
        <w:spacing w:before="44" w:after="4"/>
        <w:ind w:left="118"/>
        <w:rPr>
          <w:sz w:val="18"/>
          <w:szCs w:val="18"/>
        </w:rPr>
      </w:pPr>
    </w:p>
    <w:p w:rsidR="005860C6" w:rsidRDefault="0079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before="1"/>
        <w:ind w:hanging="359"/>
        <w:rPr>
          <w:b/>
          <w:color w:val="000000"/>
        </w:rPr>
      </w:pPr>
      <w:r>
        <w:rPr>
          <w:b/>
          <w:color w:val="000000"/>
        </w:rPr>
        <w:t>Proyectos de Investigación</w:t>
      </w:r>
    </w:p>
    <w:p w:rsidR="005860C6" w:rsidRDefault="005860C6">
      <w:p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before="1"/>
        <w:ind w:left="476"/>
        <w:rPr>
          <w:b/>
          <w:color w:val="000000"/>
        </w:rPr>
      </w:pPr>
    </w:p>
    <w:p w:rsidR="005860C6" w:rsidRDefault="0079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4"/>
        <w:ind w:hanging="222"/>
        <w:rPr>
          <w:b/>
          <w:color w:val="000000"/>
        </w:rPr>
      </w:pPr>
      <w:r>
        <w:rPr>
          <w:b/>
          <w:color w:val="000000"/>
        </w:rPr>
        <w:t xml:space="preserve"> Factibilidad y aplicabilidad de la propuesta de investigación</w:t>
      </w:r>
    </w:p>
    <w:tbl>
      <w:tblPr>
        <w:tblStyle w:val="ae"/>
        <w:tblW w:w="939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86"/>
        <w:gridCol w:w="2312"/>
        <w:gridCol w:w="2309"/>
      </w:tblGrid>
      <w:tr w:rsidR="005860C6">
        <w:trPr>
          <w:trHeight w:val="1953"/>
        </w:trPr>
        <w:tc>
          <w:tcPr>
            <w:tcW w:w="238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no contribuye a la prevención de los accidentes del trabajo o las enfermedades profesionales, acorde a la convocatoria y a la realidad nacional, independientemente de la calidad de su aporte al conocimiento científico.</w:t>
            </w:r>
          </w:p>
        </w:tc>
        <w:tc>
          <w:tcPr>
            <w:tcW w:w="2386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1"/>
              </w:tabs>
              <w:ind w:left="10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sólo tangencialmente a la prevención de los accidentes del trabajo o las enfermedades profesionales, acorde a la convocatoria y a la realidad</w:t>
            </w:r>
            <w:r>
              <w:rPr>
                <w:color w:val="000000"/>
                <w:sz w:val="16"/>
                <w:szCs w:val="16"/>
              </w:rPr>
              <w:tab/>
              <w:t>nacional, independientemente de la calidad de su aporte al conocimiento científico.</w:t>
            </w:r>
          </w:p>
        </w:tc>
        <w:tc>
          <w:tcPr>
            <w:tcW w:w="231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en forma importante a la prevención de los accidentes del trabajo o las enfermedades profesionales, acorde a la convocatoria y a la realidad nacional, pero representa un aporte limitado al conocimiento científico.</w:t>
            </w:r>
          </w:p>
        </w:tc>
        <w:tc>
          <w:tcPr>
            <w:tcW w:w="230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propuesta contribuye en forma importante a la prevención de los accidentes del trabajo o las enfermedades profesionales, acorde a la convocatoria y a la realidad nacional, y además representa un aporte al conocimiento científico.</w:t>
            </w:r>
          </w:p>
        </w:tc>
      </w:tr>
      <w:tr w:rsidR="005860C6">
        <w:trPr>
          <w:trHeight w:val="196"/>
        </w:trPr>
        <w:tc>
          <w:tcPr>
            <w:tcW w:w="238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77" w:right="881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86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905" w:right="91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12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38" w:right="842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09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838" w:right="8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rPr>
          <w:b/>
        </w:rPr>
      </w:pPr>
    </w:p>
    <w:p w:rsidR="005860C6" w:rsidRDefault="005860C6">
      <w:pPr>
        <w:spacing w:before="5"/>
        <w:rPr>
          <w:b/>
          <w:sz w:val="31"/>
          <w:szCs w:val="31"/>
        </w:rPr>
      </w:pPr>
    </w:p>
    <w:p w:rsidR="005860C6" w:rsidRDefault="0079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3"/>
        <w:ind w:hanging="222"/>
        <w:rPr>
          <w:b/>
          <w:color w:val="000000"/>
        </w:rPr>
      </w:pPr>
      <w:r>
        <w:rPr>
          <w:b/>
          <w:color w:val="000000"/>
        </w:rPr>
        <w:t>Responde a lineamientos estratégicos</w:t>
      </w:r>
    </w:p>
    <w:tbl>
      <w:tblPr>
        <w:tblStyle w:val="af"/>
        <w:tblW w:w="939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341"/>
        <w:gridCol w:w="2345"/>
        <w:gridCol w:w="2370"/>
      </w:tblGrid>
      <w:tr w:rsidR="005860C6">
        <w:trPr>
          <w:trHeight w:val="1173"/>
        </w:trPr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no corresponde a la línea estratégica declarada en la propuesta, ni a ninguna otra línea estratégica.</w:t>
            </w:r>
          </w:p>
        </w:tc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corresponde a una de las 5 líneas temáticas generales de la Convocatoria, sin ajustarse a una temática declarada o a algún proyecto particular prioritario</w:t>
            </w:r>
          </w:p>
        </w:tc>
        <w:tc>
          <w:tcPr>
            <w:tcW w:w="234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corresponde parcialmente a la línea estratégica declarada en la propuesta.</w:t>
            </w:r>
          </w:p>
        </w:tc>
        <w:tc>
          <w:tcPr>
            <w:tcW w:w="2370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proyecto corresponde completamente a la línea estratégica declarada en la propuesta.</w:t>
            </w:r>
          </w:p>
        </w:tc>
      </w:tr>
      <w:tr w:rsidR="005860C6">
        <w:trPr>
          <w:trHeight w:val="193"/>
        </w:trPr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53" w:right="8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 puntos</w:t>
            </w:r>
          </w:p>
        </w:tc>
        <w:tc>
          <w:tcPr>
            <w:tcW w:w="2341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50" w:right="8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punto</w:t>
            </w:r>
          </w:p>
        </w:tc>
        <w:tc>
          <w:tcPr>
            <w:tcW w:w="234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52" w:right="862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puntos</w:t>
            </w:r>
          </w:p>
        </w:tc>
        <w:tc>
          <w:tcPr>
            <w:tcW w:w="2370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867" w:right="872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puntos</w:t>
            </w:r>
          </w:p>
        </w:tc>
      </w:tr>
    </w:tbl>
    <w:p w:rsidR="005860C6" w:rsidRDefault="005860C6">
      <w:pPr>
        <w:pBdr>
          <w:top w:val="nil"/>
          <w:left w:val="nil"/>
          <w:bottom w:val="nil"/>
          <w:right w:val="nil"/>
          <w:between w:val="nil"/>
        </w:pBdr>
        <w:spacing w:before="35"/>
        <w:ind w:left="118"/>
        <w:rPr>
          <w:b/>
          <w:color w:val="000000"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spacing w:before="35"/>
        <w:ind w:left="118"/>
        <w:rPr>
          <w:b/>
          <w:color w:val="000000"/>
        </w:rPr>
      </w:pPr>
      <w:r>
        <w:rPr>
          <w:b/>
          <w:color w:val="000000"/>
        </w:rPr>
        <w:t>Resumen Puntaje Final Proyectos de Investigación</w:t>
      </w:r>
    </w:p>
    <w:p w:rsidR="005860C6" w:rsidRDefault="005860C6">
      <w:pPr>
        <w:spacing w:before="1"/>
        <w:rPr>
          <w:b/>
        </w:rPr>
      </w:pPr>
    </w:p>
    <w:p w:rsidR="005860C6" w:rsidRDefault="007932D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4"/>
        <w:rPr>
          <w:b/>
          <w:color w:val="000000"/>
        </w:rPr>
      </w:pPr>
      <w:r>
        <w:rPr>
          <w:b/>
          <w:color w:val="000000"/>
        </w:rPr>
        <w:t xml:space="preserve">   Admisibilidad: Factibilidad y aplicabilidad</w:t>
      </w:r>
    </w:p>
    <w:tbl>
      <w:tblPr>
        <w:tblStyle w:val="af0"/>
        <w:tblW w:w="655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1204"/>
      </w:tblGrid>
      <w:tr w:rsidR="005860C6">
        <w:trPr>
          <w:trHeight w:val="48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02" w:right="221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Dimensión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10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Puntos</w:t>
            </w:r>
          </w:p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5" w:right="106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Potenciales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E.1 Factibilidad y aplicabilidad de la propuesta de investigación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6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E.2 Responde a lineamientos estratégicos</w:t>
            </w:r>
            <w:r>
              <w:t xml:space="preserve">     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4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</w:tr>
      <w:tr w:rsidR="005860C6">
        <w:trPr>
          <w:trHeight w:val="429"/>
        </w:trPr>
        <w:tc>
          <w:tcPr>
            <w:tcW w:w="5355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PUNTAJE ADMISIBILIDAD</w:t>
            </w:r>
          </w:p>
        </w:tc>
        <w:tc>
          <w:tcPr>
            <w:tcW w:w="1204" w:type="dxa"/>
          </w:tcPr>
          <w:p w:rsidR="005860C6" w:rsidRDefault="00793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4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0-6</w:t>
            </w:r>
          </w:p>
        </w:tc>
      </w:tr>
    </w:tbl>
    <w:p w:rsidR="005860C6" w:rsidRDefault="007932D4">
      <w:pPr>
        <w:ind w:left="118"/>
        <w:rPr>
          <w:sz w:val="18"/>
          <w:szCs w:val="18"/>
        </w:rPr>
      </w:pPr>
      <w:r>
        <w:rPr>
          <w:b/>
          <w:sz w:val="18"/>
          <w:szCs w:val="18"/>
        </w:rPr>
        <w:t xml:space="preserve">Nota: </w:t>
      </w:r>
      <w:r>
        <w:rPr>
          <w:sz w:val="18"/>
          <w:szCs w:val="18"/>
        </w:rPr>
        <w:t>Puntaje promedio de admisibilidad debe ser superior a 3</w:t>
      </w:r>
    </w:p>
    <w:p w:rsidR="005860C6" w:rsidRDefault="005860C6">
      <w:pPr>
        <w:spacing w:before="44" w:after="4"/>
      </w:pPr>
    </w:p>
    <w:sectPr w:rsidR="005860C6">
      <w:footerReference w:type="default" r:id="rId8"/>
      <w:pgSz w:w="12240" w:h="18720"/>
      <w:pgMar w:top="1640" w:right="1300" w:bottom="1100" w:left="1300" w:header="0" w:footer="9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29" w:rsidRDefault="00EA6C29">
      <w:r>
        <w:separator/>
      </w:r>
    </w:p>
  </w:endnote>
  <w:endnote w:type="continuationSeparator" w:id="0">
    <w:p w:rsidR="00EA6C29" w:rsidRDefault="00E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C6" w:rsidRDefault="007932D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CL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5918200</wp:posOffset>
              </wp:positionH>
              <wp:positionV relativeFrom="paragraph">
                <wp:posOffset>11150600</wp:posOffset>
              </wp:positionV>
              <wp:extent cx="159385" cy="171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0380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60C6" w:rsidRDefault="007932D4">
                          <w:pPr>
                            <w:spacing w:line="222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11150600</wp:posOffset>
              </wp:positionV>
              <wp:extent cx="159385" cy="1714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29" w:rsidRDefault="00EA6C29">
      <w:r>
        <w:separator/>
      </w:r>
    </w:p>
  </w:footnote>
  <w:footnote w:type="continuationSeparator" w:id="0">
    <w:p w:rsidR="00EA6C29" w:rsidRDefault="00EA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C7D"/>
    <w:multiLevelType w:val="multilevel"/>
    <w:tmpl w:val="BEB851D4"/>
    <w:lvl w:ilvl="0">
      <w:start w:val="1"/>
      <w:numFmt w:val="upperLetter"/>
      <w:lvlText w:val="%1."/>
      <w:lvlJc w:val="left"/>
      <w:pPr>
        <w:ind w:left="362" w:hanging="243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39" w:hanging="221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1391" w:hanging="221"/>
      </w:pPr>
    </w:lvl>
    <w:lvl w:ilvl="3">
      <w:numFmt w:val="bullet"/>
      <w:lvlText w:val="•"/>
      <w:lvlJc w:val="left"/>
      <w:pPr>
        <w:ind w:left="2422" w:hanging="221"/>
      </w:pPr>
    </w:lvl>
    <w:lvl w:ilvl="4">
      <w:numFmt w:val="bullet"/>
      <w:lvlText w:val="•"/>
      <w:lvlJc w:val="left"/>
      <w:pPr>
        <w:ind w:left="3453" w:hanging="221"/>
      </w:pPr>
    </w:lvl>
    <w:lvl w:ilvl="5">
      <w:numFmt w:val="bullet"/>
      <w:lvlText w:val="•"/>
      <w:lvlJc w:val="left"/>
      <w:pPr>
        <w:ind w:left="4484" w:hanging="221"/>
      </w:pPr>
    </w:lvl>
    <w:lvl w:ilvl="6">
      <w:numFmt w:val="bullet"/>
      <w:lvlText w:val="•"/>
      <w:lvlJc w:val="left"/>
      <w:pPr>
        <w:ind w:left="5515" w:hanging="221"/>
      </w:pPr>
    </w:lvl>
    <w:lvl w:ilvl="7">
      <w:numFmt w:val="bullet"/>
      <w:lvlText w:val="•"/>
      <w:lvlJc w:val="left"/>
      <w:pPr>
        <w:ind w:left="6546" w:hanging="221"/>
      </w:pPr>
    </w:lvl>
    <w:lvl w:ilvl="8">
      <w:numFmt w:val="bullet"/>
      <w:lvlText w:val="•"/>
      <w:lvlJc w:val="left"/>
      <w:pPr>
        <w:ind w:left="7577" w:hanging="221"/>
      </w:pPr>
    </w:lvl>
  </w:abstractNum>
  <w:abstractNum w:abstractNumId="1" w15:restartNumberingAfterBreak="0">
    <w:nsid w:val="39E84A94"/>
    <w:multiLevelType w:val="multilevel"/>
    <w:tmpl w:val="B01EFF8C"/>
    <w:lvl w:ilvl="0">
      <w:start w:val="1"/>
      <w:numFmt w:val="decimal"/>
      <w:lvlText w:val="%1."/>
      <w:lvlJc w:val="left"/>
      <w:pPr>
        <w:ind w:left="339" w:hanging="22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270" w:hanging="221"/>
      </w:pPr>
    </w:lvl>
    <w:lvl w:ilvl="2">
      <w:numFmt w:val="bullet"/>
      <w:lvlText w:val="•"/>
      <w:lvlJc w:val="left"/>
      <w:pPr>
        <w:ind w:left="2200" w:hanging="221"/>
      </w:pPr>
    </w:lvl>
    <w:lvl w:ilvl="3">
      <w:numFmt w:val="bullet"/>
      <w:lvlText w:val="•"/>
      <w:lvlJc w:val="left"/>
      <w:pPr>
        <w:ind w:left="3130" w:hanging="221"/>
      </w:pPr>
    </w:lvl>
    <w:lvl w:ilvl="4">
      <w:numFmt w:val="bullet"/>
      <w:lvlText w:val="•"/>
      <w:lvlJc w:val="left"/>
      <w:pPr>
        <w:ind w:left="4060" w:hanging="221"/>
      </w:pPr>
    </w:lvl>
    <w:lvl w:ilvl="5">
      <w:numFmt w:val="bullet"/>
      <w:lvlText w:val="•"/>
      <w:lvlJc w:val="left"/>
      <w:pPr>
        <w:ind w:left="4990" w:hanging="221"/>
      </w:pPr>
    </w:lvl>
    <w:lvl w:ilvl="6">
      <w:numFmt w:val="bullet"/>
      <w:lvlText w:val="•"/>
      <w:lvlJc w:val="left"/>
      <w:pPr>
        <w:ind w:left="5920" w:hanging="221"/>
      </w:pPr>
    </w:lvl>
    <w:lvl w:ilvl="7">
      <w:numFmt w:val="bullet"/>
      <w:lvlText w:val="•"/>
      <w:lvlJc w:val="left"/>
      <w:pPr>
        <w:ind w:left="6850" w:hanging="221"/>
      </w:pPr>
    </w:lvl>
    <w:lvl w:ilvl="8">
      <w:numFmt w:val="bullet"/>
      <w:lvlText w:val="•"/>
      <w:lvlJc w:val="left"/>
      <w:pPr>
        <w:ind w:left="7780" w:hanging="221"/>
      </w:pPr>
    </w:lvl>
  </w:abstractNum>
  <w:abstractNum w:abstractNumId="2" w15:restartNumberingAfterBreak="0">
    <w:nsid w:val="42A45319"/>
    <w:multiLevelType w:val="multilevel"/>
    <w:tmpl w:val="4A1EBB78"/>
    <w:lvl w:ilvl="0">
      <w:start w:val="1"/>
      <w:numFmt w:val="upperRoman"/>
      <w:lvlText w:val="%1."/>
      <w:lvlJc w:val="left"/>
      <w:pPr>
        <w:ind w:left="476" w:hanging="357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396" w:hanging="358"/>
      </w:pPr>
    </w:lvl>
    <w:lvl w:ilvl="2">
      <w:numFmt w:val="bullet"/>
      <w:lvlText w:val="•"/>
      <w:lvlJc w:val="left"/>
      <w:pPr>
        <w:ind w:left="2312" w:hanging="358"/>
      </w:pPr>
    </w:lvl>
    <w:lvl w:ilvl="3">
      <w:numFmt w:val="bullet"/>
      <w:lvlText w:val="•"/>
      <w:lvlJc w:val="left"/>
      <w:pPr>
        <w:ind w:left="3228" w:hanging="358"/>
      </w:pPr>
    </w:lvl>
    <w:lvl w:ilvl="4">
      <w:numFmt w:val="bullet"/>
      <w:lvlText w:val="•"/>
      <w:lvlJc w:val="left"/>
      <w:pPr>
        <w:ind w:left="4144" w:hanging="358"/>
      </w:pPr>
    </w:lvl>
    <w:lvl w:ilvl="5">
      <w:numFmt w:val="bullet"/>
      <w:lvlText w:val="•"/>
      <w:lvlJc w:val="left"/>
      <w:pPr>
        <w:ind w:left="5060" w:hanging="358"/>
      </w:pPr>
    </w:lvl>
    <w:lvl w:ilvl="6">
      <w:numFmt w:val="bullet"/>
      <w:lvlText w:val="•"/>
      <w:lvlJc w:val="left"/>
      <w:pPr>
        <w:ind w:left="5976" w:hanging="357"/>
      </w:pPr>
    </w:lvl>
    <w:lvl w:ilvl="7">
      <w:numFmt w:val="bullet"/>
      <w:lvlText w:val="•"/>
      <w:lvlJc w:val="left"/>
      <w:pPr>
        <w:ind w:left="6892" w:hanging="357"/>
      </w:pPr>
    </w:lvl>
    <w:lvl w:ilvl="8">
      <w:numFmt w:val="bullet"/>
      <w:lvlText w:val="•"/>
      <w:lvlJc w:val="left"/>
      <w:pPr>
        <w:ind w:left="7808" w:hanging="358"/>
      </w:pPr>
    </w:lvl>
  </w:abstractNum>
  <w:abstractNum w:abstractNumId="3" w15:restartNumberingAfterBreak="0">
    <w:nsid w:val="7AD3324F"/>
    <w:multiLevelType w:val="multilevel"/>
    <w:tmpl w:val="5A84DB4C"/>
    <w:lvl w:ilvl="0">
      <w:start w:val="1"/>
      <w:numFmt w:val="decimal"/>
      <w:lvlText w:val="%1."/>
      <w:lvlJc w:val="left"/>
      <w:pPr>
        <w:ind w:left="339" w:hanging="22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270" w:hanging="221"/>
      </w:pPr>
    </w:lvl>
    <w:lvl w:ilvl="2">
      <w:numFmt w:val="bullet"/>
      <w:lvlText w:val="•"/>
      <w:lvlJc w:val="left"/>
      <w:pPr>
        <w:ind w:left="2200" w:hanging="221"/>
      </w:pPr>
    </w:lvl>
    <w:lvl w:ilvl="3">
      <w:numFmt w:val="bullet"/>
      <w:lvlText w:val="•"/>
      <w:lvlJc w:val="left"/>
      <w:pPr>
        <w:ind w:left="3130" w:hanging="221"/>
      </w:pPr>
    </w:lvl>
    <w:lvl w:ilvl="4">
      <w:numFmt w:val="bullet"/>
      <w:lvlText w:val="•"/>
      <w:lvlJc w:val="left"/>
      <w:pPr>
        <w:ind w:left="4060" w:hanging="221"/>
      </w:pPr>
    </w:lvl>
    <w:lvl w:ilvl="5">
      <w:numFmt w:val="bullet"/>
      <w:lvlText w:val="•"/>
      <w:lvlJc w:val="left"/>
      <w:pPr>
        <w:ind w:left="4990" w:hanging="221"/>
      </w:pPr>
    </w:lvl>
    <w:lvl w:ilvl="6">
      <w:numFmt w:val="bullet"/>
      <w:lvlText w:val="•"/>
      <w:lvlJc w:val="left"/>
      <w:pPr>
        <w:ind w:left="5920" w:hanging="221"/>
      </w:pPr>
    </w:lvl>
    <w:lvl w:ilvl="7">
      <w:numFmt w:val="bullet"/>
      <w:lvlText w:val="•"/>
      <w:lvlJc w:val="left"/>
      <w:pPr>
        <w:ind w:left="6850" w:hanging="221"/>
      </w:pPr>
    </w:lvl>
    <w:lvl w:ilvl="8">
      <w:numFmt w:val="bullet"/>
      <w:lvlText w:val="•"/>
      <w:lvlJc w:val="left"/>
      <w:pPr>
        <w:ind w:left="7780" w:hanging="221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C6"/>
    <w:rsid w:val="005860C6"/>
    <w:rsid w:val="00683E00"/>
    <w:rsid w:val="007932D4"/>
    <w:rsid w:val="00C34D2F"/>
    <w:rsid w:val="00E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227A-C796-4256-806F-92C581FA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44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339" w:hanging="222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982D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2D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2D46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D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D4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D46"/>
    <w:rPr>
      <w:rFonts w:ascii="Segoe UI" w:eastAsia="Calibr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4323BC"/>
    <w:pPr>
      <w:widowControl/>
    </w:pPr>
  </w:style>
  <w:style w:type="table" w:customStyle="1" w:styleId="a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DN1ty6XJ928sVb+woJfSYdONZw==">AMUW2mUX41e45NFWql4NJY0bH+B212EXR3NSeYMM5RInFulI95+OL8F7JY4i9fQofb5xs9VGx+N5GM0pYKrRCcdhtyBE6C/c6uMxcY90G+Jf9wlWh2VLLNI=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Alvarez Marchant</dc:creator>
  <cp:lastModifiedBy>Carlos Soto Munoz</cp:lastModifiedBy>
  <cp:revision>2</cp:revision>
  <dcterms:created xsi:type="dcterms:W3CDTF">2023-06-13T16:33:00Z</dcterms:created>
  <dcterms:modified xsi:type="dcterms:W3CDTF">2023-06-13T16:33:00Z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  <property fmtid="{D5CDD505-2E9C-101B-9397-08002B2CF9AE}" pid="5" name="GrammarlyDocumentId">
    <vt:lpwstr>11bc547163005a744ef596136c0b11660098c55a9599d138dfeadfb318e207dd</vt:lpwstr>
  </property>
</Properties>
</file>